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6B" w:rsidRDefault="005A036B">
      <w:pPr>
        <w:pStyle w:val="BodyText"/>
        <w:spacing w:before="11"/>
        <w:rPr>
          <w:sz w:val="6"/>
        </w:rPr>
      </w:pPr>
    </w:p>
    <w:p w:rsidR="005A036B" w:rsidRDefault="00FB5436">
      <w:pPr>
        <w:pStyle w:val="BodyText"/>
        <w:ind w:left="100"/>
        <w:rPr>
          <w:sz w:val="20"/>
        </w:rPr>
      </w:pPr>
      <w:r>
        <w:rPr>
          <w:noProof/>
          <w:sz w:val="20"/>
        </w:rPr>
        <w:drawing>
          <wp:inline distT="0" distB="0" distL="0" distR="0">
            <wp:extent cx="2613561" cy="169163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13561" cy="1691639"/>
                    </a:xfrm>
                    <a:prstGeom prst="rect">
                      <a:avLst/>
                    </a:prstGeom>
                  </pic:spPr>
                </pic:pic>
              </a:graphicData>
            </a:graphic>
          </wp:inline>
        </w:drawing>
      </w:r>
    </w:p>
    <w:p w:rsidR="005A036B" w:rsidRDefault="00FB5436">
      <w:pPr>
        <w:spacing w:before="274"/>
        <w:ind w:left="100"/>
        <w:rPr>
          <w:sz w:val="28"/>
        </w:rPr>
      </w:pPr>
      <w:r>
        <w:rPr>
          <w:sz w:val="28"/>
        </w:rPr>
        <w:t>In</w:t>
      </w:r>
      <w:r>
        <w:rPr>
          <w:spacing w:val="-3"/>
          <w:sz w:val="28"/>
        </w:rPr>
        <w:t xml:space="preserve"> </w:t>
      </w:r>
      <w:r>
        <w:rPr>
          <w:sz w:val="28"/>
        </w:rPr>
        <w:t>memory</w:t>
      </w:r>
      <w:r>
        <w:rPr>
          <w:spacing w:val="-7"/>
          <w:sz w:val="28"/>
        </w:rPr>
        <w:t xml:space="preserve"> </w:t>
      </w:r>
      <w:r>
        <w:rPr>
          <w:spacing w:val="-5"/>
          <w:sz w:val="28"/>
        </w:rPr>
        <w:t>of</w:t>
      </w:r>
    </w:p>
    <w:p w:rsidR="005A036B" w:rsidRDefault="00FB5436">
      <w:pPr>
        <w:spacing w:before="10"/>
        <w:ind w:left="100"/>
        <w:rPr>
          <w:b/>
          <w:sz w:val="48"/>
        </w:rPr>
      </w:pPr>
      <w:r>
        <w:rPr>
          <w:b/>
          <w:sz w:val="48"/>
        </w:rPr>
        <w:t>Kathy</w:t>
      </w:r>
      <w:r>
        <w:rPr>
          <w:b/>
          <w:spacing w:val="1"/>
          <w:sz w:val="48"/>
        </w:rPr>
        <w:t xml:space="preserve"> </w:t>
      </w:r>
      <w:r>
        <w:rPr>
          <w:b/>
          <w:spacing w:val="-2"/>
          <w:sz w:val="48"/>
        </w:rPr>
        <w:t>Chester</w:t>
      </w:r>
    </w:p>
    <w:p w:rsidR="005A036B" w:rsidRDefault="00FB5436">
      <w:pPr>
        <w:pStyle w:val="Heading1"/>
        <w:spacing w:before="267" w:line="360" w:lineRule="auto"/>
        <w:ind w:right="38"/>
      </w:pPr>
      <w:r>
        <w:t>This is the twenty-s</w:t>
      </w:r>
      <w:r w:rsidR="00811232">
        <w:t>eventh</w:t>
      </w:r>
      <w:r>
        <w:t xml:space="preserve"> annual seminar series sponsored through the Kathy Chester Memorial</w:t>
      </w:r>
      <w:r>
        <w:rPr>
          <w:spacing w:val="-7"/>
        </w:rPr>
        <w:t xml:space="preserve"> </w:t>
      </w:r>
      <w:r>
        <w:t>Endowment</w:t>
      </w:r>
      <w:r>
        <w:rPr>
          <w:spacing w:val="-8"/>
        </w:rPr>
        <w:t xml:space="preserve"> </w:t>
      </w:r>
      <w:r>
        <w:t>Fund.</w:t>
      </w:r>
      <w:r>
        <w:rPr>
          <w:spacing w:val="40"/>
        </w:rPr>
        <w:t xml:space="preserve"> </w:t>
      </w:r>
      <w:r>
        <w:t>As</w:t>
      </w:r>
      <w:r>
        <w:rPr>
          <w:spacing w:val="-6"/>
        </w:rPr>
        <w:t xml:space="preserve"> </w:t>
      </w:r>
      <w:r>
        <w:t>a</w:t>
      </w:r>
      <w:r>
        <w:rPr>
          <w:spacing w:val="-7"/>
        </w:rPr>
        <w:t xml:space="preserve"> </w:t>
      </w:r>
      <w:r>
        <w:t>Riverside Speech Pathologist, Kathy was a strong advocate for continuing education and these seminars are a tribute to Kathy and her contribution to our field.</w:t>
      </w:r>
    </w:p>
    <w:p w:rsidR="005A036B" w:rsidRDefault="00FB5436">
      <w:pPr>
        <w:rPr>
          <w:sz w:val="32"/>
        </w:rPr>
      </w:pPr>
      <w:r>
        <w:br w:type="column"/>
      </w:r>
    </w:p>
    <w:p w:rsidR="005A036B" w:rsidRDefault="005A036B">
      <w:pPr>
        <w:pStyle w:val="BodyText"/>
        <w:spacing w:before="72"/>
        <w:rPr>
          <w:sz w:val="32"/>
        </w:rPr>
      </w:pPr>
    </w:p>
    <w:p w:rsidR="005A036B" w:rsidRDefault="00FB5436">
      <w:pPr>
        <w:pStyle w:val="Heading1"/>
        <w:spacing w:before="1"/>
      </w:pPr>
      <w:r>
        <w:t>The</w:t>
      </w:r>
      <w:r>
        <w:rPr>
          <w:spacing w:val="-12"/>
        </w:rPr>
        <w:t xml:space="preserve"> </w:t>
      </w:r>
      <w:r>
        <w:t>Twenty-S</w:t>
      </w:r>
      <w:r w:rsidR="006E4054">
        <w:t>eventh</w:t>
      </w:r>
      <w:r>
        <w:rPr>
          <w:spacing w:val="-11"/>
        </w:rPr>
        <w:t xml:space="preserve"> </w:t>
      </w:r>
      <w:r>
        <w:rPr>
          <w:spacing w:val="-2"/>
        </w:rPr>
        <w:t>Annual</w:t>
      </w:r>
    </w:p>
    <w:p w:rsidR="005A036B" w:rsidRDefault="00FB5436">
      <w:pPr>
        <w:pStyle w:val="Title"/>
      </w:pPr>
      <w:r>
        <w:t>Kathy</w:t>
      </w:r>
      <w:r>
        <w:rPr>
          <w:spacing w:val="-18"/>
        </w:rPr>
        <w:t xml:space="preserve"> </w:t>
      </w:r>
      <w:r>
        <w:rPr>
          <w:spacing w:val="-2"/>
        </w:rPr>
        <w:t>Chester</w:t>
      </w:r>
    </w:p>
    <w:p w:rsidR="005A036B" w:rsidRDefault="00FB5436">
      <w:pPr>
        <w:pStyle w:val="Heading1"/>
        <w:spacing w:line="364" w:lineRule="exact"/>
      </w:pPr>
      <w:r>
        <w:t>Memorial</w:t>
      </w:r>
      <w:r>
        <w:rPr>
          <w:spacing w:val="-13"/>
        </w:rPr>
        <w:t xml:space="preserve"> </w:t>
      </w:r>
      <w:r>
        <w:t>Seminar</w:t>
      </w:r>
      <w:r>
        <w:rPr>
          <w:spacing w:val="-10"/>
        </w:rPr>
        <w:t xml:space="preserve"> </w:t>
      </w:r>
      <w:r>
        <w:rPr>
          <w:spacing w:val="-2"/>
        </w:rPr>
        <w:t>Series</w:t>
      </w:r>
    </w:p>
    <w:p w:rsidR="005A036B" w:rsidRDefault="00FB5436">
      <w:pPr>
        <w:spacing w:before="285"/>
        <w:ind w:left="100"/>
        <w:rPr>
          <w:b/>
          <w:i/>
          <w:sz w:val="48"/>
        </w:rPr>
      </w:pPr>
      <w:r>
        <w:rPr>
          <w:b/>
          <w:i/>
          <w:sz w:val="48"/>
        </w:rPr>
        <w:t>“</w:t>
      </w:r>
      <w:r w:rsidR="00811232">
        <w:rPr>
          <w:b/>
          <w:i/>
          <w:sz w:val="48"/>
        </w:rPr>
        <w:t>Shakes and Breaks: An Update on Laryngeal Dystonia and Associated Neurological Voice Conditions</w:t>
      </w:r>
      <w:r>
        <w:rPr>
          <w:b/>
          <w:i/>
          <w:spacing w:val="-2"/>
          <w:sz w:val="48"/>
        </w:rPr>
        <w:t>”</w:t>
      </w:r>
    </w:p>
    <w:p w:rsidR="005A036B" w:rsidRDefault="00811232">
      <w:pPr>
        <w:pStyle w:val="BodyText"/>
        <w:spacing w:before="269" w:line="480" w:lineRule="auto"/>
        <w:ind w:left="100" w:right="2058"/>
      </w:pPr>
      <w:r>
        <w:t>Karen Perta PhD</w:t>
      </w:r>
      <w:r w:rsidR="00FB5436">
        <w:t>,</w:t>
      </w:r>
      <w:r w:rsidR="00FB5436">
        <w:rPr>
          <w:spacing w:val="-9"/>
        </w:rPr>
        <w:t xml:space="preserve"> </w:t>
      </w:r>
      <w:r w:rsidR="00FB5436">
        <w:t>CCC-SLP T</w:t>
      </w:r>
      <w:r>
        <w:t>hur</w:t>
      </w:r>
      <w:r w:rsidR="00FB5436">
        <w:t>sday,</w:t>
      </w:r>
      <w:r w:rsidR="00FB5436">
        <w:rPr>
          <w:spacing w:val="-1"/>
        </w:rPr>
        <w:t xml:space="preserve"> </w:t>
      </w:r>
      <w:r>
        <w:rPr>
          <w:spacing w:val="-1"/>
        </w:rPr>
        <w:t>April 10</w:t>
      </w:r>
      <w:r w:rsidR="00FB5436">
        <w:t xml:space="preserve">, </w:t>
      </w:r>
      <w:r w:rsidR="00FB5436">
        <w:rPr>
          <w:spacing w:val="-4"/>
        </w:rPr>
        <w:t>202</w:t>
      </w:r>
      <w:r>
        <w:rPr>
          <w:spacing w:val="-4"/>
        </w:rPr>
        <w:t>5</w:t>
      </w:r>
    </w:p>
    <w:p w:rsidR="005A036B" w:rsidRDefault="00FB5436">
      <w:pPr>
        <w:pStyle w:val="BodyText"/>
        <w:spacing w:before="157"/>
        <w:rPr>
          <w:sz w:val="20"/>
        </w:rPr>
      </w:pPr>
      <w:r>
        <w:rPr>
          <w:noProof/>
          <w:sz w:val="20"/>
        </w:rPr>
        <w:drawing>
          <wp:inline distT="0" distB="0" distL="0" distR="0">
            <wp:extent cx="3601720" cy="1111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HA Brand Block.jpg"/>
                    <pic:cNvPicPr/>
                  </pic:nvPicPr>
                  <pic:blipFill>
                    <a:blip r:embed="rId6">
                      <a:extLst>
                        <a:ext uri="{28A0092B-C50C-407E-A947-70E740481C1C}">
                          <a14:useLocalDpi xmlns:a14="http://schemas.microsoft.com/office/drawing/2010/main" val="0"/>
                        </a:ext>
                      </a:extLst>
                    </a:blip>
                    <a:stretch>
                      <a:fillRect/>
                    </a:stretch>
                  </pic:blipFill>
                  <pic:spPr>
                    <a:xfrm>
                      <a:off x="0" y="0"/>
                      <a:ext cx="3620103" cy="1117585"/>
                    </a:xfrm>
                    <a:prstGeom prst="rect">
                      <a:avLst/>
                    </a:prstGeom>
                  </pic:spPr>
                </pic:pic>
              </a:graphicData>
            </a:graphic>
          </wp:inline>
        </w:drawing>
      </w:r>
    </w:p>
    <w:p w:rsidR="005A036B" w:rsidRDefault="00FB5436">
      <w:pPr>
        <w:pStyle w:val="Heading2"/>
        <w:spacing w:before="75"/>
        <w:jc w:val="both"/>
        <w:rPr>
          <w:u w:val="none"/>
        </w:rPr>
      </w:pPr>
      <w:r>
        <w:rPr>
          <w:b w:val="0"/>
          <w:u w:val="none"/>
        </w:rPr>
        <w:br w:type="column"/>
      </w:r>
      <w:r>
        <w:t>Seminar</w:t>
      </w:r>
      <w:r>
        <w:rPr>
          <w:spacing w:val="-4"/>
        </w:rPr>
        <w:t xml:space="preserve"> </w:t>
      </w:r>
      <w:r>
        <w:rPr>
          <w:spacing w:val="-2"/>
        </w:rPr>
        <w:t>Description</w:t>
      </w:r>
    </w:p>
    <w:p w:rsidR="00811232" w:rsidRDefault="00811232" w:rsidP="00811232">
      <w:pPr>
        <w:spacing w:after="160" w:line="259" w:lineRule="auto"/>
        <w:ind w:left="101" w:right="115"/>
        <w:jc w:val="both"/>
        <w:rPr>
          <w:sz w:val="24"/>
          <w:szCs w:val="24"/>
        </w:rPr>
      </w:pPr>
      <w:r w:rsidRPr="001C1978">
        <w:rPr>
          <w:sz w:val="24"/>
          <w:szCs w:val="24"/>
        </w:rPr>
        <w:t xml:space="preserve">Voice disorders </w:t>
      </w:r>
      <w:r>
        <w:rPr>
          <w:sz w:val="24"/>
          <w:szCs w:val="24"/>
        </w:rPr>
        <w:t>associated with</w:t>
      </w:r>
      <w:r w:rsidRPr="001C1978">
        <w:rPr>
          <w:sz w:val="24"/>
          <w:szCs w:val="24"/>
        </w:rPr>
        <w:t xml:space="preserve"> neurological conditions, including laryngeal dystonia</w:t>
      </w:r>
      <w:r>
        <w:rPr>
          <w:sz w:val="24"/>
          <w:szCs w:val="24"/>
        </w:rPr>
        <w:t xml:space="preserve"> and</w:t>
      </w:r>
      <w:r w:rsidRPr="001C1978">
        <w:rPr>
          <w:sz w:val="24"/>
          <w:szCs w:val="24"/>
        </w:rPr>
        <w:t xml:space="preserve"> tremor, present significant challenges for both patients and clinicians. These disorders often manifest as vocal breaks (laryngeal dystonia) </w:t>
      </w:r>
      <w:r>
        <w:rPr>
          <w:sz w:val="24"/>
          <w:szCs w:val="24"/>
        </w:rPr>
        <w:t>and/</w:t>
      </w:r>
      <w:r w:rsidRPr="001C1978">
        <w:rPr>
          <w:sz w:val="24"/>
          <w:szCs w:val="24"/>
        </w:rPr>
        <w:t>or</w:t>
      </w:r>
      <w:r>
        <w:rPr>
          <w:sz w:val="24"/>
          <w:szCs w:val="24"/>
        </w:rPr>
        <w:t xml:space="preserve"> shakes</w:t>
      </w:r>
      <w:r w:rsidRPr="001C1978">
        <w:rPr>
          <w:sz w:val="24"/>
          <w:szCs w:val="24"/>
        </w:rPr>
        <w:t xml:space="preserve"> (dystonic </w:t>
      </w:r>
      <w:r>
        <w:rPr>
          <w:sz w:val="24"/>
          <w:szCs w:val="24"/>
        </w:rPr>
        <w:t>versus</w:t>
      </w:r>
      <w:r w:rsidRPr="001C1978">
        <w:rPr>
          <w:sz w:val="24"/>
          <w:szCs w:val="24"/>
        </w:rPr>
        <w:t xml:space="preserve"> essential tremor)</w:t>
      </w:r>
      <w:r>
        <w:rPr>
          <w:sz w:val="24"/>
          <w:szCs w:val="24"/>
        </w:rPr>
        <w:t>, each with characteristics and comorbidities that can complicate accurate diagnosis</w:t>
      </w:r>
      <w:r w:rsidRPr="001C1978">
        <w:rPr>
          <w:sz w:val="24"/>
          <w:szCs w:val="24"/>
        </w:rPr>
        <w:t>.</w:t>
      </w:r>
      <w:r>
        <w:rPr>
          <w:sz w:val="24"/>
          <w:szCs w:val="24"/>
        </w:rPr>
        <w:t xml:space="preserve"> Recent functional imaging studies have deepened our understanding of the neurophysiology underlying laryngeal dystonia and tremor.</w:t>
      </w:r>
      <w:r w:rsidRPr="001C1978">
        <w:rPr>
          <w:sz w:val="24"/>
          <w:szCs w:val="24"/>
        </w:rPr>
        <w:t xml:space="preserve"> This course</w:t>
      </w:r>
      <w:r>
        <w:rPr>
          <w:sz w:val="24"/>
          <w:szCs w:val="24"/>
        </w:rPr>
        <w:t xml:space="preserve"> provides an overview of the latest research and terminology updates related to</w:t>
      </w:r>
      <w:r w:rsidRPr="001C1978">
        <w:rPr>
          <w:sz w:val="24"/>
          <w:szCs w:val="24"/>
        </w:rPr>
        <w:t xml:space="preserve"> these complex voice conditions, </w:t>
      </w:r>
      <w:r>
        <w:rPr>
          <w:sz w:val="24"/>
          <w:szCs w:val="24"/>
        </w:rPr>
        <w:t>emphasizing</w:t>
      </w:r>
      <w:r w:rsidRPr="001C1978">
        <w:rPr>
          <w:sz w:val="24"/>
          <w:szCs w:val="24"/>
        </w:rPr>
        <w:t xml:space="preserve"> clinical differentiation, assessment </w:t>
      </w:r>
      <w:r>
        <w:rPr>
          <w:sz w:val="24"/>
          <w:szCs w:val="24"/>
        </w:rPr>
        <w:t>techniques</w:t>
      </w:r>
      <w:r w:rsidRPr="001C1978">
        <w:rPr>
          <w:sz w:val="24"/>
          <w:szCs w:val="24"/>
        </w:rPr>
        <w:t>, and evidence-based treatment approaches</w:t>
      </w:r>
      <w:r>
        <w:rPr>
          <w:sz w:val="24"/>
          <w:szCs w:val="24"/>
        </w:rPr>
        <w:t>/referrals to better serve this challenging clinical population.</w:t>
      </w:r>
    </w:p>
    <w:p w:rsidR="005A036B" w:rsidRDefault="005A036B">
      <w:pPr>
        <w:pStyle w:val="BodyText"/>
        <w:spacing w:before="234"/>
      </w:pPr>
    </w:p>
    <w:p w:rsidR="005A036B" w:rsidRDefault="00FB5436">
      <w:pPr>
        <w:pStyle w:val="Heading2"/>
        <w:rPr>
          <w:spacing w:val="-2"/>
        </w:rPr>
      </w:pPr>
      <w:r>
        <w:rPr>
          <w:spacing w:val="-2"/>
        </w:rPr>
        <w:t>Speaker</w:t>
      </w:r>
    </w:p>
    <w:p w:rsidR="00811232" w:rsidRPr="00811232" w:rsidRDefault="00811232" w:rsidP="00811232">
      <w:pPr>
        <w:widowControl/>
        <w:autoSpaceDE/>
        <w:autoSpaceDN/>
        <w:spacing w:after="160" w:line="259" w:lineRule="auto"/>
        <w:ind w:left="101" w:right="115"/>
        <w:jc w:val="both"/>
        <w:rPr>
          <w:rFonts w:eastAsia="Aptos"/>
          <w:kern w:val="2"/>
          <w:sz w:val="24"/>
          <w:szCs w:val="24"/>
          <w14:ligatures w14:val="standardContextual"/>
        </w:rPr>
      </w:pPr>
      <w:r w:rsidRPr="00811232">
        <w:rPr>
          <w:rFonts w:eastAsia="Aptos"/>
          <w:b/>
          <w:i/>
          <w:kern w:val="2"/>
          <w:sz w:val="24"/>
          <w:szCs w:val="24"/>
          <w14:ligatures w14:val="standardContextual"/>
        </w:rPr>
        <w:t>Karen Perta, Ph.D., CCC-SLP</w:t>
      </w:r>
      <w:r w:rsidRPr="00811232">
        <w:rPr>
          <w:rFonts w:eastAsia="Aptos"/>
          <w:kern w:val="2"/>
          <w:sz w:val="24"/>
          <w:szCs w:val="24"/>
          <w14:ligatures w14:val="standardContextual"/>
        </w:rPr>
        <w:t xml:space="preserve"> is a voice-specialized medical speech-language pathologist, singing voice specialist, and researcher. She spent over 10 years in the Columbus area working in ENT and neurological acute care (Riverside Methodist Hospital) and completed her Ph.D. at the Ohio State University. She is former clinical faculty at Ohio University and is a current assistant professor in the Department of Communication Sciences and Disorders at Elmhurst University outside of Chicago.</w:t>
      </w:r>
    </w:p>
    <w:p w:rsidR="005A036B" w:rsidRDefault="00FB5436">
      <w:pPr>
        <w:spacing w:before="206"/>
        <w:ind w:left="100"/>
        <w:rPr>
          <w:b/>
          <w:sz w:val="16"/>
        </w:rPr>
      </w:pPr>
      <w:r>
        <w:rPr>
          <w:b/>
          <w:sz w:val="16"/>
          <w:u w:val="single"/>
        </w:rPr>
        <w:t>Financial</w:t>
      </w:r>
      <w:r>
        <w:rPr>
          <w:b/>
          <w:spacing w:val="-7"/>
          <w:sz w:val="16"/>
          <w:u w:val="single"/>
        </w:rPr>
        <w:t xml:space="preserve"> </w:t>
      </w:r>
      <w:r>
        <w:rPr>
          <w:b/>
          <w:spacing w:val="-2"/>
          <w:sz w:val="16"/>
          <w:u w:val="single"/>
        </w:rPr>
        <w:t>Disclosures:</w:t>
      </w:r>
    </w:p>
    <w:p w:rsidR="005A036B" w:rsidRDefault="00FB5436">
      <w:pPr>
        <w:pStyle w:val="ListParagraph"/>
        <w:numPr>
          <w:ilvl w:val="0"/>
          <w:numId w:val="1"/>
        </w:numPr>
        <w:tabs>
          <w:tab w:val="left" w:pos="244"/>
        </w:tabs>
        <w:spacing w:before="12"/>
        <w:ind w:hanging="144"/>
        <w:rPr>
          <w:sz w:val="16"/>
        </w:rPr>
      </w:pPr>
      <w:r>
        <w:rPr>
          <w:sz w:val="16"/>
        </w:rPr>
        <w:t>Receives</w:t>
      </w:r>
      <w:r>
        <w:rPr>
          <w:spacing w:val="-5"/>
          <w:sz w:val="16"/>
        </w:rPr>
        <w:t xml:space="preserve"> </w:t>
      </w:r>
      <w:r>
        <w:rPr>
          <w:sz w:val="16"/>
        </w:rPr>
        <w:t>a</w:t>
      </w:r>
      <w:r>
        <w:rPr>
          <w:spacing w:val="-3"/>
          <w:sz w:val="16"/>
        </w:rPr>
        <w:t xml:space="preserve"> </w:t>
      </w:r>
      <w:r>
        <w:rPr>
          <w:sz w:val="16"/>
        </w:rPr>
        <w:t>speaking</w:t>
      </w:r>
      <w:r>
        <w:rPr>
          <w:spacing w:val="-5"/>
          <w:sz w:val="16"/>
        </w:rPr>
        <w:t xml:space="preserve"> </w:t>
      </w:r>
      <w:r>
        <w:rPr>
          <w:sz w:val="16"/>
        </w:rPr>
        <w:t>fee</w:t>
      </w:r>
      <w:r>
        <w:rPr>
          <w:spacing w:val="-6"/>
          <w:sz w:val="16"/>
        </w:rPr>
        <w:t xml:space="preserve"> </w:t>
      </w:r>
      <w:r>
        <w:rPr>
          <w:sz w:val="16"/>
        </w:rPr>
        <w:t>from</w:t>
      </w:r>
      <w:r>
        <w:rPr>
          <w:spacing w:val="-4"/>
          <w:sz w:val="16"/>
        </w:rPr>
        <w:t xml:space="preserve"> </w:t>
      </w:r>
      <w:r>
        <w:rPr>
          <w:spacing w:val="-2"/>
          <w:sz w:val="16"/>
        </w:rPr>
        <w:t>OhioHealth</w:t>
      </w:r>
    </w:p>
    <w:p w:rsidR="005A036B" w:rsidRDefault="005A036B">
      <w:pPr>
        <w:pStyle w:val="BodyText"/>
        <w:spacing w:before="28"/>
        <w:rPr>
          <w:sz w:val="16"/>
        </w:rPr>
      </w:pPr>
    </w:p>
    <w:p w:rsidR="005A036B" w:rsidRDefault="00FB5436">
      <w:pPr>
        <w:ind w:left="100"/>
        <w:rPr>
          <w:sz w:val="16"/>
        </w:rPr>
      </w:pPr>
      <w:r>
        <w:rPr>
          <w:b/>
          <w:sz w:val="16"/>
          <w:u w:val="single"/>
        </w:rPr>
        <w:t>Non-Financial</w:t>
      </w:r>
      <w:r>
        <w:rPr>
          <w:b/>
          <w:spacing w:val="-9"/>
          <w:sz w:val="16"/>
          <w:u w:val="single"/>
        </w:rPr>
        <w:t xml:space="preserve"> </w:t>
      </w:r>
      <w:r>
        <w:rPr>
          <w:b/>
          <w:spacing w:val="-2"/>
          <w:sz w:val="16"/>
          <w:u w:val="single"/>
        </w:rPr>
        <w:t>Disclosures</w:t>
      </w:r>
      <w:r>
        <w:rPr>
          <w:spacing w:val="-2"/>
          <w:sz w:val="16"/>
        </w:rPr>
        <w:t>:</w:t>
      </w:r>
    </w:p>
    <w:p w:rsidR="005A036B" w:rsidRDefault="00FB5436">
      <w:pPr>
        <w:pStyle w:val="ListParagraph"/>
        <w:numPr>
          <w:ilvl w:val="0"/>
          <w:numId w:val="1"/>
        </w:numPr>
        <w:tabs>
          <w:tab w:val="left" w:pos="244"/>
        </w:tabs>
        <w:spacing w:before="16"/>
        <w:ind w:hanging="144"/>
        <w:rPr>
          <w:sz w:val="16"/>
        </w:rPr>
      </w:pPr>
      <w:r>
        <w:rPr>
          <w:sz w:val="16"/>
        </w:rPr>
        <w:t>Has</w:t>
      </w:r>
      <w:r>
        <w:rPr>
          <w:spacing w:val="-5"/>
          <w:sz w:val="16"/>
        </w:rPr>
        <w:t xml:space="preserve"> </w:t>
      </w:r>
      <w:r>
        <w:rPr>
          <w:sz w:val="16"/>
        </w:rPr>
        <w:t>no</w:t>
      </w:r>
      <w:r>
        <w:rPr>
          <w:spacing w:val="-6"/>
          <w:sz w:val="16"/>
        </w:rPr>
        <w:t xml:space="preserve"> </w:t>
      </w:r>
      <w:r>
        <w:rPr>
          <w:sz w:val="16"/>
        </w:rPr>
        <w:t>relevant</w:t>
      </w:r>
      <w:r>
        <w:rPr>
          <w:spacing w:val="-6"/>
          <w:sz w:val="16"/>
        </w:rPr>
        <w:t xml:space="preserve"> </w:t>
      </w:r>
      <w:r>
        <w:rPr>
          <w:sz w:val="16"/>
        </w:rPr>
        <w:t>non-financial</w:t>
      </w:r>
      <w:r>
        <w:rPr>
          <w:spacing w:val="-5"/>
          <w:sz w:val="16"/>
        </w:rPr>
        <w:t xml:space="preserve"> </w:t>
      </w:r>
      <w:r>
        <w:rPr>
          <w:sz w:val="16"/>
        </w:rPr>
        <w:t>relationships</w:t>
      </w:r>
      <w:r>
        <w:rPr>
          <w:spacing w:val="-7"/>
          <w:sz w:val="16"/>
        </w:rPr>
        <w:t xml:space="preserve"> </w:t>
      </w:r>
      <w:r>
        <w:rPr>
          <w:sz w:val="16"/>
        </w:rPr>
        <w:t>to</w:t>
      </w:r>
      <w:r>
        <w:rPr>
          <w:spacing w:val="-5"/>
          <w:sz w:val="16"/>
        </w:rPr>
        <w:t xml:space="preserve"> </w:t>
      </w:r>
      <w:r>
        <w:rPr>
          <w:spacing w:val="-2"/>
          <w:sz w:val="16"/>
        </w:rPr>
        <w:t>report</w:t>
      </w:r>
    </w:p>
    <w:p w:rsidR="005A036B" w:rsidRDefault="005A036B">
      <w:pPr>
        <w:rPr>
          <w:sz w:val="16"/>
        </w:rPr>
        <w:sectPr w:rsidR="005A036B">
          <w:type w:val="continuous"/>
          <w:pgSz w:w="20160" w:h="12240" w:orient="landscape"/>
          <w:pgMar w:top="1360" w:right="600" w:bottom="280" w:left="620" w:header="720" w:footer="720" w:gutter="0"/>
          <w:cols w:num="3" w:space="720" w:equalWidth="0">
            <w:col w:w="5887" w:space="594"/>
            <w:col w:w="5672" w:space="808"/>
            <w:col w:w="5979"/>
          </w:cols>
        </w:sectPr>
      </w:pPr>
    </w:p>
    <w:p w:rsidR="005A036B" w:rsidRDefault="00FB5436">
      <w:pPr>
        <w:pStyle w:val="Heading2"/>
        <w:spacing w:before="78"/>
        <w:rPr>
          <w:u w:val="none"/>
        </w:rPr>
      </w:pPr>
      <w:r>
        <w:lastRenderedPageBreak/>
        <w:t>Learner</w:t>
      </w:r>
      <w:r>
        <w:rPr>
          <w:spacing w:val="-4"/>
        </w:rPr>
        <w:t xml:space="preserve"> </w:t>
      </w:r>
      <w:r>
        <w:rPr>
          <w:spacing w:val="-2"/>
        </w:rPr>
        <w:t>Objectives</w:t>
      </w:r>
    </w:p>
    <w:p w:rsidR="005A036B" w:rsidRDefault="00FB5436">
      <w:pPr>
        <w:pStyle w:val="BodyText"/>
        <w:spacing w:before="22"/>
        <w:ind w:left="100"/>
      </w:pPr>
      <w:r>
        <w:t>At</w:t>
      </w:r>
      <w:r>
        <w:rPr>
          <w:spacing w:val="-2"/>
        </w:rPr>
        <w:t xml:space="preserve"> </w:t>
      </w:r>
      <w:r>
        <w:t>the</w:t>
      </w:r>
      <w:r>
        <w:rPr>
          <w:spacing w:val="-2"/>
        </w:rPr>
        <w:t xml:space="preserve"> </w:t>
      </w:r>
      <w:r>
        <w:t>conclusion</w:t>
      </w:r>
      <w:r>
        <w:rPr>
          <w:spacing w:val="-1"/>
        </w:rPr>
        <w:t xml:space="preserve"> </w:t>
      </w:r>
      <w:r>
        <w:t>of</w:t>
      </w:r>
      <w:r>
        <w:rPr>
          <w:spacing w:val="-2"/>
        </w:rPr>
        <w:t xml:space="preserve"> </w:t>
      </w:r>
      <w:r>
        <w:t>the course,</w:t>
      </w:r>
      <w:r>
        <w:rPr>
          <w:spacing w:val="-1"/>
        </w:rPr>
        <w:t xml:space="preserve"> </w:t>
      </w:r>
      <w:r>
        <w:t>participants</w:t>
      </w:r>
      <w:r>
        <w:rPr>
          <w:spacing w:val="-2"/>
        </w:rPr>
        <w:t xml:space="preserve"> </w:t>
      </w:r>
      <w:r>
        <w:t>will</w:t>
      </w:r>
      <w:r>
        <w:rPr>
          <w:spacing w:val="-1"/>
        </w:rPr>
        <w:t xml:space="preserve"> </w:t>
      </w:r>
      <w:r>
        <w:t>be</w:t>
      </w:r>
      <w:r>
        <w:rPr>
          <w:spacing w:val="-1"/>
        </w:rPr>
        <w:t xml:space="preserve"> </w:t>
      </w:r>
      <w:r>
        <w:t>able</w:t>
      </w:r>
      <w:r>
        <w:rPr>
          <w:spacing w:val="-1"/>
        </w:rPr>
        <w:t xml:space="preserve"> </w:t>
      </w:r>
      <w:r>
        <w:rPr>
          <w:spacing w:val="-5"/>
        </w:rPr>
        <w:t>to:</w:t>
      </w:r>
    </w:p>
    <w:p w:rsidR="00811232" w:rsidRDefault="00811232" w:rsidP="00811232">
      <w:pPr>
        <w:pStyle w:val="ListParagraph"/>
        <w:widowControl/>
        <w:numPr>
          <w:ilvl w:val="0"/>
          <w:numId w:val="2"/>
        </w:numPr>
        <w:autoSpaceDE/>
        <w:autoSpaceDN/>
        <w:spacing w:after="160" w:line="259" w:lineRule="auto"/>
        <w:contextualSpacing/>
        <w:rPr>
          <w:sz w:val="24"/>
          <w:szCs w:val="24"/>
        </w:rPr>
      </w:pPr>
      <w:r>
        <w:rPr>
          <w:sz w:val="24"/>
          <w:szCs w:val="24"/>
        </w:rPr>
        <w:t>Describe the clinical characteristics that differentiate laryngeal dystonia, dystonic tremor, and essential tremor.</w:t>
      </w:r>
    </w:p>
    <w:p w:rsidR="00811232" w:rsidRDefault="00811232" w:rsidP="00811232">
      <w:pPr>
        <w:pStyle w:val="ListParagraph"/>
        <w:widowControl/>
        <w:numPr>
          <w:ilvl w:val="0"/>
          <w:numId w:val="2"/>
        </w:numPr>
        <w:autoSpaceDE/>
        <w:autoSpaceDN/>
        <w:spacing w:after="160" w:line="259" w:lineRule="auto"/>
        <w:contextualSpacing/>
        <w:rPr>
          <w:sz w:val="24"/>
          <w:szCs w:val="24"/>
        </w:rPr>
      </w:pPr>
      <w:r>
        <w:rPr>
          <w:sz w:val="24"/>
          <w:szCs w:val="24"/>
        </w:rPr>
        <w:t>Identify assessment procedures for neurological voice disorders and potential functional voice co-morbidities.</w:t>
      </w:r>
    </w:p>
    <w:p w:rsidR="00811232" w:rsidRDefault="00811232" w:rsidP="00811232">
      <w:pPr>
        <w:pStyle w:val="ListParagraph"/>
        <w:widowControl/>
        <w:numPr>
          <w:ilvl w:val="0"/>
          <w:numId w:val="2"/>
        </w:numPr>
        <w:autoSpaceDE/>
        <w:autoSpaceDN/>
        <w:spacing w:after="160" w:line="259" w:lineRule="auto"/>
        <w:contextualSpacing/>
        <w:rPr>
          <w:sz w:val="24"/>
          <w:szCs w:val="24"/>
        </w:rPr>
      </w:pPr>
      <w:r>
        <w:rPr>
          <w:sz w:val="24"/>
          <w:szCs w:val="24"/>
        </w:rPr>
        <w:t>Describe behavioral and medical treatment options for neurological voice disorders.</w:t>
      </w:r>
    </w:p>
    <w:p w:rsidR="005A036B" w:rsidRDefault="005A036B">
      <w:pPr>
        <w:pStyle w:val="BodyText"/>
        <w:spacing w:before="95"/>
      </w:pPr>
    </w:p>
    <w:p w:rsidR="005A036B" w:rsidRDefault="00FB5436">
      <w:pPr>
        <w:pStyle w:val="Heading2"/>
        <w:spacing w:line="320" w:lineRule="exact"/>
        <w:rPr>
          <w:u w:val="none"/>
        </w:rPr>
      </w:pPr>
      <w:r>
        <w:t>Seminar</w:t>
      </w:r>
      <w:r>
        <w:rPr>
          <w:spacing w:val="-5"/>
        </w:rPr>
        <w:t xml:space="preserve"> </w:t>
      </w:r>
      <w:r>
        <w:rPr>
          <w:spacing w:val="-2"/>
        </w:rPr>
        <w:t>Schedule</w:t>
      </w:r>
    </w:p>
    <w:p w:rsidR="005A036B" w:rsidRDefault="00811232" w:rsidP="009023BA">
      <w:pPr>
        <w:tabs>
          <w:tab w:val="left" w:pos="1540"/>
        </w:tabs>
        <w:spacing w:after="160" w:line="259" w:lineRule="auto"/>
        <w:ind w:left="1440" w:hanging="1339"/>
      </w:pPr>
      <w:r>
        <w:rPr>
          <w:color w:val="212121"/>
          <w:spacing w:val="-2"/>
        </w:rPr>
        <w:t>2:30</w:t>
      </w:r>
      <w:r w:rsidR="00FB5436">
        <w:rPr>
          <w:color w:val="212121"/>
          <w:spacing w:val="-2"/>
        </w:rPr>
        <w:t>-</w:t>
      </w:r>
      <w:r>
        <w:rPr>
          <w:color w:val="212121"/>
          <w:spacing w:val="-2"/>
        </w:rPr>
        <w:t>2:40</w:t>
      </w:r>
      <w:r w:rsidR="009023BA">
        <w:rPr>
          <w:color w:val="212121"/>
          <w:spacing w:val="-2"/>
        </w:rPr>
        <w:tab/>
      </w:r>
      <w:r>
        <w:rPr>
          <w:color w:val="212121"/>
        </w:rPr>
        <w:t>Neuroanatomy review and pathophysiology of neurological voice disorders</w:t>
      </w:r>
    </w:p>
    <w:p w:rsidR="00811232" w:rsidRDefault="00811232" w:rsidP="009023BA">
      <w:pPr>
        <w:spacing w:after="160" w:line="259" w:lineRule="auto"/>
        <w:ind w:left="1436" w:hanging="1335"/>
        <w:rPr>
          <w:sz w:val="24"/>
          <w:szCs w:val="24"/>
        </w:rPr>
      </w:pPr>
      <w:r>
        <w:rPr>
          <w:color w:val="212121"/>
          <w:spacing w:val="-2"/>
        </w:rPr>
        <w:t>2:40</w:t>
      </w:r>
      <w:r w:rsidR="00FB5436">
        <w:rPr>
          <w:color w:val="212121"/>
          <w:spacing w:val="-2"/>
        </w:rPr>
        <w:t>-</w:t>
      </w:r>
      <w:r>
        <w:rPr>
          <w:color w:val="212121"/>
          <w:spacing w:val="-2"/>
        </w:rPr>
        <w:t>3:10</w:t>
      </w:r>
      <w:r>
        <w:rPr>
          <w:color w:val="212121"/>
        </w:rPr>
        <w:tab/>
      </w:r>
      <w:r w:rsidR="009023BA">
        <w:rPr>
          <w:color w:val="212121"/>
        </w:rPr>
        <w:t>O</w:t>
      </w:r>
      <w:r>
        <w:rPr>
          <w:sz w:val="24"/>
          <w:szCs w:val="24"/>
        </w:rPr>
        <w:t>verview of the clinical features of laryngeal dystonia (breaks) versus other related neurological voice conditions such as dystonic tremor, essential tremor (shakes)</w:t>
      </w:r>
    </w:p>
    <w:p w:rsidR="009023BA" w:rsidRDefault="00811232" w:rsidP="009023BA">
      <w:pPr>
        <w:spacing w:after="160" w:line="259" w:lineRule="auto"/>
        <w:ind w:left="1436" w:hanging="1335"/>
        <w:rPr>
          <w:sz w:val="24"/>
          <w:szCs w:val="24"/>
        </w:rPr>
      </w:pPr>
      <w:r>
        <w:rPr>
          <w:color w:val="212121"/>
          <w:spacing w:val="-2"/>
        </w:rPr>
        <w:t>3:10</w:t>
      </w:r>
      <w:r w:rsidR="00FB5436">
        <w:rPr>
          <w:color w:val="212121"/>
          <w:spacing w:val="-2"/>
        </w:rPr>
        <w:t>-</w:t>
      </w:r>
      <w:r>
        <w:rPr>
          <w:color w:val="212121"/>
          <w:spacing w:val="-2"/>
        </w:rPr>
        <w:t>3:25</w:t>
      </w:r>
      <w:r w:rsidR="00FB5436">
        <w:rPr>
          <w:color w:val="212121"/>
        </w:rPr>
        <w:tab/>
      </w:r>
      <w:r w:rsidR="009023BA">
        <w:rPr>
          <w:sz w:val="24"/>
          <w:szCs w:val="24"/>
        </w:rPr>
        <w:t>Co-morbidities in neurological voice disorders, including functional voice disorders (e.g., muscle tension dysphonia)</w:t>
      </w:r>
    </w:p>
    <w:p w:rsidR="005A036B" w:rsidRDefault="00811232" w:rsidP="009023BA">
      <w:pPr>
        <w:tabs>
          <w:tab w:val="left" w:pos="1540"/>
        </w:tabs>
        <w:spacing w:after="160" w:line="259" w:lineRule="auto"/>
        <w:ind w:left="1436" w:hanging="1335"/>
      </w:pPr>
      <w:r>
        <w:rPr>
          <w:color w:val="212121"/>
        </w:rPr>
        <w:t>3:25-3:50</w:t>
      </w:r>
      <w:r w:rsidR="00FB5436">
        <w:rPr>
          <w:color w:val="212121"/>
        </w:rPr>
        <w:tab/>
      </w:r>
      <w:r w:rsidR="009023BA">
        <w:rPr>
          <w:sz w:val="24"/>
          <w:szCs w:val="24"/>
        </w:rPr>
        <w:t>Assessment tasks for neurological voice disorders and differential diagnosis</w:t>
      </w:r>
    </w:p>
    <w:p w:rsidR="009023BA" w:rsidRDefault="00811232" w:rsidP="009023BA">
      <w:pPr>
        <w:spacing w:after="160" w:line="259" w:lineRule="auto"/>
        <w:ind w:left="1436" w:hanging="1335"/>
        <w:rPr>
          <w:sz w:val="24"/>
          <w:szCs w:val="24"/>
        </w:rPr>
      </w:pPr>
      <w:r>
        <w:rPr>
          <w:color w:val="212121"/>
          <w:spacing w:val="-2"/>
        </w:rPr>
        <w:t>3:50-4:20</w:t>
      </w:r>
      <w:r w:rsidR="00FB5436">
        <w:rPr>
          <w:color w:val="212121"/>
        </w:rPr>
        <w:tab/>
      </w:r>
      <w:r w:rsidR="009023BA">
        <w:rPr>
          <w:sz w:val="24"/>
          <w:szCs w:val="24"/>
        </w:rPr>
        <w:t>Behavioral and medical treatments for neurological voice disorders, including therapy options and appropriate referrals (laryngology and support group)</w:t>
      </w:r>
    </w:p>
    <w:p w:rsidR="006E4054" w:rsidRDefault="00811232" w:rsidP="009023BA">
      <w:pPr>
        <w:tabs>
          <w:tab w:val="left" w:pos="1540"/>
        </w:tabs>
        <w:spacing w:after="160" w:line="259" w:lineRule="auto"/>
        <w:ind w:left="1440" w:hanging="1339"/>
      </w:pPr>
      <w:proofErr w:type="gramStart"/>
      <w:r>
        <w:rPr>
          <w:color w:val="212121"/>
          <w:spacing w:val="-2"/>
        </w:rPr>
        <w:t>4:</w:t>
      </w:r>
      <w:proofErr w:type="gramEnd"/>
      <w:r>
        <w:rPr>
          <w:color w:val="212121"/>
          <w:spacing w:val="-2"/>
        </w:rPr>
        <w:t>20-4:30</w:t>
      </w:r>
      <w:r w:rsidR="009023BA">
        <w:rPr>
          <w:color w:val="212121"/>
          <w:spacing w:val="-2"/>
        </w:rPr>
        <w:tab/>
        <w:t>Q &amp; A</w:t>
      </w:r>
    </w:p>
    <w:p w:rsidR="006E4054" w:rsidRDefault="006E4054" w:rsidP="009023BA">
      <w:pPr>
        <w:tabs>
          <w:tab w:val="left" w:pos="1540"/>
        </w:tabs>
        <w:spacing w:after="160" w:line="259" w:lineRule="auto"/>
        <w:ind w:left="1440" w:hanging="1339"/>
      </w:pPr>
    </w:p>
    <w:p w:rsidR="006E4054" w:rsidRDefault="006E4054" w:rsidP="009023BA">
      <w:pPr>
        <w:tabs>
          <w:tab w:val="left" w:pos="1540"/>
        </w:tabs>
        <w:spacing w:after="160" w:line="259" w:lineRule="auto"/>
        <w:ind w:left="1440" w:hanging="1339"/>
      </w:pPr>
    </w:p>
    <w:p w:rsidR="005A036B" w:rsidRPr="009023BA" w:rsidRDefault="00FB5436" w:rsidP="009023BA">
      <w:pPr>
        <w:tabs>
          <w:tab w:val="left" w:pos="1540"/>
        </w:tabs>
        <w:spacing w:after="160" w:line="259" w:lineRule="auto"/>
        <w:ind w:left="1440" w:hanging="1339"/>
        <w:rPr>
          <w:b/>
          <w:sz w:val="28"/>
          <w:szCs w:val="28"/>
          <w:u w:val="single"/>
        </w:rPr>
      </w:pPr>
      <w:r w:rsidRPr="009023BA">
        <w:rPr>
          <w:b/>
          <w:spacing w:val="-2"/>
          <w:sz w:val="28"/>
          <w:szCs w:val="28"/>
          <w:u w:val="single"/>
        </w:rPr>
        <w:t>Location</w:t>
      </w:r>
    </w:p>
    <w:p w:rsidR="006E4054" w:rsidRDefault="006E4054">
      <w:pPr>
        <w:pStyle w:val="BodyText"/>
        <w:ind w:left="100" w:right="6980"/>
      </w:pPr>
      <w:r>
        <w:t>Virtual or In-Person</w:t>
      </w:r>
    </w:p>
    <w:p w:rsidR="006E4054" w:rsidRDefault="006E4054">
      <w:pPr>
        <w:pStyle w:val="BodyText"/>
        <w:ind w:left="100" w:right="6980"/>
      </w:pPr>
      <w:bookmarkStart w:id="0" w:name="_GoBack"/>
      <w:bookmarkEnd w:id="0"/>
    </w:p>
    <w:p w:rsidR="009023BA" w:rsidRDefault="00FB5436">
      <w:pPr>
        <w:pStyle w:val="BodyText"/>
        <w:ind w:left="100" w:right="6980"/>
        <w:rPr>
          <w:spacing w:val="-8"/>
        </w:rPr>
      </w:pPr>
      <w:r>
        <w:t>OhioHealth</w:t>
      </w:r>
      <w:r>
        <w:rPr>
          <w:spacing w:val="-8"/>
        </w:rPr>
        <w:t xml:space="preserve"> </w:t>
      </w:r>
      <w:r w:rsidR="009023BA">
        <w:rPr>
          <w:spacing w:val="-8"/>
        </w:rPr>
        <w:t>Riverside Methodist Hospital</w:t>
      </w:r>
    </w:p>
    <w:p w:rsidR="005A036B" w:rsidRDefault="009023BA">
      <w:pPr>
        <w:pStyle w:val="BodyText"/>
        <w:ind w:left="100" w:right="6980"/>
        <w:rPr>
          <w:spacing w:val="-8"/>
        </w:rPr>
      </w:pPr>
      <w:r>
        <w:rPr>
          <w:spacing w:val="-8"/>
        </w:rPr>
        <w:t>3535 Olentangy River Road</w:t>
      </w:r>
    </w:p>
    <w:p w:rsidR="009023BA" w:rsidRDefault="009023BA">
      <w:pPr>
        <w:pStyle w:val="BodyText"/>
        <w:ind w:left="100" w:right="6980"/>
      </w:pPr>
      <w:r>
        <w:rPr>
          <w:spacing w:val="-8"/>
        </w:rPr>
        <w:t>Susan H. Edwards Auditorium</w:t>
      </w:r>
    </w:p>
    <w:p w:rsidR="005A036B" w:rsidRDefault="00FB5436">
      <w:pPr>
        <w:pStyle w:val="BodyText"/>
        <w:ind w:left="100"/>
      </w:pPr>
      <w:r>
        <w:t xml:space="preserve">Columbus, </w:t>
      </w:r>
      <w:r>
        <w:rPr>
          <w:spacing w:val="-5"/>
        </w:rPr>
        <w:t>OH</w:t>
      </w:r>
      <w:r w:rsidR="009023BA">
        <w:rPr>
          <w:spacing w:val="-5"/>
        </w:rPr>
        <w:t xml:space="preserve"> 43214</w:t>
      </w:r>
    </w:p>
    <w:p w:rsidR="005A036B" w:rsidRDefault="005A036B">
      <w:pPr>
        <w:pStyle w:val="BodyText"/>
        <w:spacing w:before="233"/>
      </w:pPr>
    </w:p>
    <w:p w:rsidR="005A036B" w:rsidRDefault="00FB5436">
      <w:pPr>
        <w:spacing w:line="250" w:lineRule="exact"/>
        <w:ind w:left="100"/>
        <w:rPr>
          <w:b/>
        </w:rPr>
      </w:pPr>
      <w:r>
        <w:rPr>
          <w:b/>
        </w:rPr>
        <w:t>For</w:t>
      </w:r>
      <w:r>
        <w:rPr>
          <w:b/>
          <w:spacing w:val="-5"/>
        </w:rPr>
        <w:t xml:space="preserve"> </w:t>
      </w:r>
      <w:r>
        <w:rPr>
          <w:b/>
        </w:rPr>
        <w:t>more</w:t>
      </w:r>
      <w:r>
        <w:rPr>
          <w:b/>
          <w:spacing w:val="-5"/>
        </w:rPr>
        <w:t xml:space="preserve"> </w:t>
      </w:r>
      <w:r>
        <w:rPr>
          <w:b/>
        </w:rPr>
        <w:t>information</w:t>
      </w:r>
      <w:r>
        <w:rPr>
          <w:b/>
          <w:spacing w:val="-4"/>
        </w:rPr>
        <w:t xml:space="preserve"> </w:t>
      </w:r>
      <w:r>
        <w:rPr>
          <w:b/>
        </w:rPr>
        <w:t>or</w:t>
      </w:r>
      <w:r>
        <w:rPr>
          <w:b/>
          <w:spacing w:val="-5"/>
        </w:rPr>
        <w:t xml:space="preserve"> </w:t>
      </w:r>
      <w:r>
        <w:rPr>
          <w:b/>
        </w:rPr>
        <w:t>questions,</w:t>
      </w:r>
      <w:r>
        <w:rPr>
          <w:b/>
          <w:spacing w:val="-4"/>
        </w:rPr>
        <w:t xml:space="preserve"> </w:t>
      </w:r>
      <w:r>
        <w:rPr>
          <w:b/>
          <w:spacing w:val="-2"/>
        </w:rPr>
        <w:t>contact:</w:t>
      </w:r>
    </w:p>
    <w:p w:rsidR="005A036B" w:rsidRDefault="009023BA">
      <w:pPr>
        <w:spacing w:line="250" w:lineRule="exact"/>
        <w:ind w:left="387"/>
      </w:pPr>
      <w:r>
        <w:t>Rehab Education</w:t>
      </w:r>
    </w:p>
    <w:p w:rsidR="005A036B" w:rsidRDefault="00FB5436">
      <w:pPr>
        <w:ind w:left="387"/>
        <w:rPr>
          <w:spacing w:val="-3"/>
        </w:rPr>
      </w:pPr>
      <w:r>
        <w:t>Email:</w:t>
      </w:r>
      <w:r>
        <w:rPr>
          <w:spacing w:val="-3"/>
        </w:rPr>
        <w:t xml:space="preserve"> </w:t>
      </w:r>
      <w:hyperlink r:id="rId7" w:history="1">
        <w:r w:rsidR="009023BA" w:rsidRPr="00707125">
          <w:rPr>
            <w:rStyle w:val="Hyperlink"/>
            <w:spacing w:val="-3"/>
          </w:rPr>
          <w:t>RehabEducation@ohiohealth.com</w:t>
        </w:r>
      </w:hyperlink>
    </w:p>
    <w:p w:rsidR="009023BA" w:rsidRDefault="009023BA">
      <w:pPr>
        <w:ind w:left="387"/>
      </w:pPr>
    </w:p>
    <w:p w:rsidR="005A036B" w:rsidRDefault="005A036B">
      <w:pPr>
        <w:pStyle w:val="BodyText"/>
        <w:rPr>
          <w:sz w:val="22"/>
        </w:rPr>
      </w:pPr>
    </w:p>
    <w:p w:rsidR="005A036B" w:rsidRDefault="005A036B">
      <w:pPr>
        <w:pStyle w:val="BodyText"/>
        <w:rPr>
          <w:sz w:val="22"/>
        </w:rPr>
      </w:pPr>
    </w:p>
    <w:p w:rsidR="005A036B" w:rsidRDefault="005A036B">
      <w:pPr>
        <w:pStyle w:val="BodyText"/>
        <w:spacing w:before="141"/>
        <w:rPr>
          <w:sz w:val="22"/>
        </w:rPr>
      </w:pPr>
    </w:p>
    <w:p w:rsidR="005A036B" w:rsidRDefault="00FB5436">
      <w:pPr>
        <w:pStyle w:val="Heading2"/>
        <w:spacing w:line="320" w:lineRule="exact"/>
        <w:rPr>
          <w:u w:val="none"/>
        </w:rPr>
      </w:pPr>
      <w:r>
        <w:rPr>
          <w:spacing w:val="-2"/>
        </w:rPr>
        <w:t>Registration</w:t>
      </w:r>
    </w:p>
    <w:p w:rsidR="005A036B" w:rsidRDefault="00FB5436">
      <w:pPr>
        <w:pStyle w:val="BodyText"/>
        <w:spacing w:line="274" w:lineRule="exact"/>
        <w:ind w:left="100"/>
      </w:pPr>
      <w:r>
        <w:t>Register</w:t>
      </w:r>
      <w:r>
        <w:rPr>
          <w:spacing w:val="-4"/>
        </w:rPr>
        <w:t xml:space="preserve"> </w:t>
      </w:r>
      <w:r>
        <w:t>online</w:t>
      </w:r>
      <w:r>
        <w:rPr>
          <w:spacing w:val="-1"/>
        </w:rPr>
        <w:t xml:space="preserve"> </w:t>
      </w:r>
      <w:r>
        <w:rPr>
          <w:spacing w:val="-5"/>
        </w:rPr>
        <w:t>at:</w:t>
      </w:r>
    </w:p>
    <w:p w:rsidR="005A036B" w:rsidRPr="009023BA" w:rsidRDefault="006E4054" w:rsidP="009023BA">
      <w:pPr>
        <w:pStyle w:val="BodyText"/>
        <w:spacing w:before="4"/>
        <w:ind w:left="101"/>
      </w:pPr>
      <w:hyperlink r:id="rId8" w:history="1">
        <w:r w:rsidR="009023BA" w:rsidRPr="009023BA">
          <w:rPr>
            <w:rStyle w:val="Hyperlink"/>
          </w:rPr>
          <w:t>https://ohiohealth.cloud-cme.com/KC-Shakes-and-Breaks</w:t>
        </w:r>
      </w:hyperlink>
    </w:p>
    <w:p w:rsidR="009023BA" w:rsidRDefault="009023BA">
      <w:pPr>
        <w:spacing w:before="1"/>
        <w:ind w:left="2538"/>
        <w:rPr>
          <w:b/>
          <w:spacing w:val="-2"/>
          <w:sz w:val="32"/>
        </w:rPr>
      </w:pPr>
    </w:p>
    <w:p w:rsidR="005A036B" w:rsidRDefault="00FB5436">
      <w:pPr>
        <w:spacing w:before="1"/>
        <w:ind w:left="2538"/>
        <w:rPr>
          <w:b/>
          <w:spacing w:val="-2"/>
          <w:sz w:val="32"/>
        </w:rPr>
      </w:pPr>
      <w:r>
        <w:rPr>
          <w:b/>
          <w:spacing w:val="-2"/>
          <w:sz w:val="32"/>
        </w:rPr>
        <w:t>$50.00</w:t>
      </w: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pPr>
        <w:spacing w:before="1"/>
        <w:ind w:left="2538"/>
        <w:rPr>
          <w:b/>
          <w:spacing w:val="-2"/>
          <w:sz w:val="32"/>
        </w:rPr>
      </w:pPr>
    </w:p>
    <w:p w:rsidR="00811232" w:rsidRDefault="00811232" w:rsidP="00811232">
      <w:pPr>
        <w:rPr>
          <w:b/>
          <w:spacing w:val="-2"/>
          <w:sz w:val="32"/>
        </w:rPr>
      </w:pPr>
    </w:p>
    <w:p w:rsidR="00811232" w:rsidRDefault="00811232" w:rsidP="009023BA">
      <w:pPr>
        <w:spacing w:before="1"/>
        <w:rPr>
          <w:b/>
          <w:sz w:val="32"/>
        </w:rPr>
      </w:pPr>
    </w:p>
    <w:sectPr w:rsidR="00811232">
      <w:pgSz w:w="20160" w:h="12240" w:orient="landscape"/>
      <w:pgMar w:top="1360" w:right="600" w:bottom="280" w:left="620" w:header="720" w:footer="720" w:gutter="0"/>
      <w:cols w:num="2" w:space="720" w:equalWidth="0">
        <w:col w:w="5870" w:space="611"/>
        <w:col w:w="124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6325A"/>
    <w:multiLevelType w:val="hybridMultilevel"/>
    <w:tmpl w:val="635048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A70E0C"/>
    <w:multiLevelType w:val="hybridMultilevel"/>
    <w:tmpl w:val="4CB89EFE"/>
    <w:lvl w:ilvl="0" w:tplc="084A5D42">
      <w:numFmt w:val="bullet"/>
      <w:lvlText w:val="•"/>
      <w:lvlJc w:val="left"/>
      <w:pPr>
        <w:ind w:left="244" w:hanging="145"/>
      </w:pPr>
      <w:rPr>
        <w:rFonts w:ascii="Times New Roman" w:eastAsia="Times New Roman" w:hAnsi="Times New Roman" w:cs="Times New Roman" w:hint="default"/>
        <w:b w:val="0"/>
        <w:bCs w:val="0"/>
        <w:i w:val="0"/>
        <w:iCs w:val="0"/>
        <w:spacing w:val="0"/>
        <w:w w:val="100"/>
        <w:sz w:val="16"/>
        <w:szCs w:val="16"/>
        <w:lang w:val="en-US" w:eastAsia="en-US" w:bidi="ar-SA"/>
      </w:rPr>
    </w:lvl>
    <w:lvl w:ilvl="1" w:tplc="12CA4B3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1148541A">
      <w:numFmt w:val="bullet"/>
      <w:lvlText w:val="•"/>
      <w:lvlJc w:val="left"/>
      <w:pPr>
        <w:ind w:left="-60" w:hanging="360"/>
      </w:pPr>
      <w:rPr>
        <w:rFonts w:hint="default"/>
        <w:lang w:val="en-US" w:eastAsia="en-US" w:bidi="ar-SA"/>
      </w:rPr>
    </w:lvl>
    <w:lvl w:ilvl="3" w:tplc="FCC0E728">
      <w:numFmt w:val="bullet"/>
      <w:lvlText w:val="•"/>
      <w:lvlJc w:val="left"/>
      <w:pPr>
        <w:ind w:left="-939" w:hanging="360"/>
      </w:pPr>
      <w:rPr>
        <w:rFonts w:hint="default"/>
        <w:lang w:val="en-US" w:eastAsia="en-US" w:bidi="ar-SA"/>
      </w:rPr>
    </w:lvl>
    <w:lvl w:ilvl="4" w:tplc="AD261836">
      <w:numFmt w:val="bullet"/>
      <w:lvlText w:val="•"/>
      <w:lvlJc w:val="left"/>
      <w:pPr>
        <w:ind w:left="-1818" w:hanging="360"/>
      </w:pPr>
      <w:rPr>
        <w:rFonts w:hint="default"/>
        <w:lang w:val="en-US" w:eastAsia="en-US" w:bidi="ar-SA"/>
      </w:rPr>
    </w:lvl>
    <w:lvl w:ilvl="5" w:tplc="5022804C">
      <w:numFmt w:val="bullet"/>
      <w:lvlText w:val="•"/>
      <w:lvlJc w:val="left"/>
      <w:pPr>
        <w:ind w:left="-2697" w:hanging="360"/>
      </w:pPr>
      <w:rPr>
        <w:rFonts w:hint="default"/>
        <w:lang w:val="en-US" w:eastAsia="en-US" w:bidi="ar-SA"/>
      </w:rPr>
    </w:lvl>
    <w:lvl w:ilvl="6" w:tplc="5C886AEA">
      <w:numFmt w:val="bullet"/>
      <w:lvlText w:val="•"/>
      <w:lvlJc w:val="left"/>
      <w:pPr>
        <w:ind w:left="-3576" w:hanging="360"/>
      </w:pPr>
      <w:rPr>
        <w:rFonts w:hint="default"/>
        <w:lang w:val="en-US" w:eastAsia="en-US" w:bidi="ar-SA"/>
      </w:rPr>
    </w:lvl>
    <w:lvl w:ilvl="7" w:tplc="00A283D6">
      <w:numFmt w:val="bullet"/>
      <w:lvlText w:val="•"/>
      <w:lvlJc w:val="left"/>
      <w:pPr>
        <w:ind w:left="-4455" w:hanging="360"/>
      </w:pPr>
      <w:rPr>
        <w:rFonts w:hint="default"/>
        <w:lang w:val="en-US" w:eastAsia="en-US" w:bidi="ar-SA"/>
      </w:rPr>
    </w:lvl>
    <w:lvl w:ilvl="8" w:tplc="4CDE7966">
      <w:numFmt w:val="bullet"/>
      <w:lvlText w:val="•"/>
      <w:lvlJc w:val="left"/>
      <w:pPr>
        <w:ind w:left="-533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A036B"/>
    <w:rsid w:val="005A036B"/>
    <w:rsid w:val="006E4054"/>
    <w:rsid w:val="00811232"/>
    <w:rsid w:val="009023BA"/>
    <w:rsid w:val="00FB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96AF"/>
  <w15:docId w15:val="{30B95375-4019-43AF-B7C1-CDE3BFC6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sz w:val="32"/>
      <w:szCs w:val="32"/>
    </w:rPr>
  </w:style>
  <w:style w:type="paragraph" w:styleId="Heading2">
    <w:name w:val="heading 2"/>
    <w:basedOn w:val="Normal"/>
    <w:uiPriority w:val="1"/>
    <w:qFormat/>
    <w:pPr>
      <w:spacing w:before="1"/>
      <w:ind w:left="10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 w:line="709" w:lineRule="exact"/>
      <w:ind w:left="100"/>
    </w:pPr>
    <w:rPr>
      <w:b/>
      <w:bCs/>
      <w:sz w:val="62"/>
      <w:szCs w:val="6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2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hiohealth.cloud-cme.com/KC-Shakes-and-Breaks" TargetMode="External"/><Relationship Id="rId3" Type="http://schemas.openxmlformats.org/officeDocument/2006/relationships/settings" Target="settings.xml"/><Relationship Id="rId7" Type="http://schemas.openxmlformats.org/officeDocument/2006/relationships/hyperlink" Target="mailto:RehabEducation@ohio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OhioHealth</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Groves</dc:creator>
  <cp:lastModifiedBy>Groves, Lynn F.</cp:lastModifiedBy>
  <cp:revision>4</cp:revision>
  <dcterms:created xsi:type="dcterms:W3CDTF">2024-02-06T14:09:00Z</dcterms:created>
  <dcterms:modified xsi:type="dcterms:W3CDTF">2025-03-11T17:33:00Z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Microsoft® Word 2016</vt:lpwstr>
  </property>
</Properties>
</file>